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C59" w14:textId="0A4B5B8B" w:rsidR="00184ECE" w:rsidRDefault="00E4385A" w:rsidP="00387D11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03A8CF" wp14:editId="7CB9B037">
            <wp:extent cx="4800600" cy="1037590"/>
            <wp:effectExtent l="19050" t="19050" r="19050" b="10160"/>
            <wp:docPr id="1" name="Picture 1" descr="National Association of Enabling Educators Australia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Association of Enabling Educators Australia logo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375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E49835" w14:textId="77777777" w:rsidR="00184ECE" w:rsidRDefault="00184ECE" w:rsidP="00387D11">
      <w:pPr>
        <w:spacing w:after="0"/>
        <w:jc w:val="center"/>
        <w:rPr>
          <w:b/>
          <w:sz w:val="28"/>
          <w:szCs w:val="28"/>
        </w:rPr>
      </w:pPr>
    </w:p>
    <w:p w14:paraId="3B266DFA" w14:textId="708D64C8" w:rsidR="006A2B7F" w:rsidRPr="00387D11" w:rsidRDefault="006A48E7" w:rsidP="00387D11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National Association of Enabling Educators Australia (NAEEA)</w:t>
      </w:r>
    </w:p>
    <w:p w14:paraId="45BDE7EF" w14:textId="4C0AB881" w:rsidR="006A48E7" w:rsidRPr="00387D11" w:rsidRDefault="006A48E7" w:rsidP="00387D11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Annual General Meeting</w:t>
      </w:r>
    </w:p>
    <w:p w14:paraId="01D64473" w14:textId="77777777" w:rsidR="001D2EB0" w:rsidRDefault="006A48E7" w:rsidP="001D2EB0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>President’s Report</w:t>
      </w:r>
      <w:r w:rsidR="001D2EB0" w:rsidRPr="001D2EB0">
        <w:rPr>
          <w:b/>
          <w:sz w:val="28"/>
          <w:szCs w:val="28"/>
        </w:rPr>
        <w:t xml:space="preserve"> </w:t>
      </w:r>
    </w:p>
    <w:p w14:paraId="441D3333" w14:textId="456D00AC" w:rsidR="001D2EB0" w:rsidRPr="00387D11" w:rsidRDefault="001D2EB0" w:rsidP="001D2EB0">
      <w:pPr>
        <w:spacing w:after="0"/>
        <w:jc w:val="center"/>
        <w:rPr>
          <w:b/>
          <w:sz w:val="28"/>
          <w:szCs w:val="28"/>
        </w:rPr>
      </w:pPr>
      <w:r w:rsidRPr="00387D11">
        <w:rPr>
          <w:b/>
          <w:sz w:val="28"/>
          <w:szCs w:val="28"/>
        </w:rPr>
        <w:t xml:space="preserve">Friday </w:t>
      </w:r>
      <w:r w:rsidR="00032597">
        <w:rPr>
          <w:b/>
          <w:sz w:val="28"/>
          <w:szCs w:val="28"/>
        </w:rPr>
        <w:t>20</w:t>
      </w:r>
      <w:r w:rsidRPr="00387D11">
        <w:rPr>
          <w:b/>
          <w:sz w:val="28"/>
          <w:szCs w:val="28"/>
        </w:rPr>
        <w:t xml:space="preserve"> </w:t>
      </w:r>
      <w:proofErr w:type="gramStart"/>
      <w:r w:rsidRPr="00387D11">
        <w:rPr>
          <w:b/>
          <w:sz w:val="28"/>
          <w:szCs w:val="28"/>
        </w:rPr>
        <w:t>March,</w:t>
      </w:r>
      <w:proofErr w:type="gramEnd"/>
      <w:r w:rsidRPr="00387D11">
        <w:rPr>
          <w:b/>
          <w:sz w:val="28"/>
          <w:szCs w:val="28"/>
        </w:rPr>
        <w:t xml:space="preserve"> 20</w:t>
      </w:r>
      <w:r w:rsidR="00C47B2D">
        <w:rPr>
          <w:b/>
          <w:sz w:val="28"/>
          <w:szCs w:val="28"/>
        </w:rPr>
        <w:t>20</w:t>
      </w:r>
    </w:p>
    <w:p w14:paraId="5587A47B" w14:textId="3CF1FC91" w:rsidR="006A48E7" w:rsidRPr="00387D11" w:rsidRDefault="006A48E7" w:rsidP="00387D11">
      <w:pPr>
        <w:spacing w:after="0"/>
        <w:jc w:val="center"/>
        <w:rPr>
          <w:b/>
          <w:sz w:val="28"/>
          <w:szCs w:val="28"/>
        </w:rPr>
      </w:pPr>
    </w:p>
    <w:p w14:paraId="2A732589" w14:textId="0CC2F400" w:rsidR="006A48E7" w:rsidRPr="00967198" w:rsidRDefault="00187A42" w:rsidP="00187A42">
      <w:pPr>
        <w:spacing w:after="0"/>
        <w:rPr>
          <w:sz w:val="24"/>
          <w:szCs w:val="24"/>
        </w:rPr>
      </w:pPr>
      <w:r w:rsidRPr="00967198">
        <w:rPr>
          <w:sz w:val="24"/>
          <w:szCs w:val="24"/>
        </w:rPr>
        <w:t>In 20</w:t>
      </w:r>
      <w:r w:rsidR="00506694" w:rsidRPr="00967198">
        <w:rPr>
          <w:sz w:val="24"/>
          <w:szCs w:val="24"/>
        </w:rPr>
        <w:t>19</w:t>
      </w:r>
      <w:r w:rsidRPr="00967198">
        <w:rPr>
          <w:sz w:val="24"/>
          <w:szCs w:val="24"/>
        </w:rPr>
        <w:t>,</w:t>
      </w:r>
      <w:r w:rsidR="00834558" w:rsidRPr="00967198">
        <w:rPr>
          <w:sz w:val="24"/>
          <w:szCs w:val="24"/>
        </w:rPr>
        <w:t xml:space="preserve"> NAEEA comprise</w:t>
      </w:r>
      <w:r w:rsidRPr="00967198">
        <w:rPr>
          <w:sz w:val="24"/>
          <w:szCs w:val="24"/>
        </w:rPr>
        <w:t>d</w:t>
      </w:r>
      <w:r w:rsidR="00824CF7" w:rsidRPr="00967198">
        <w:rPr>
          <w:sz w:val="24"/>
          <w:szCs w:val="24"/>
        </w:rPr>
        <w:t xml:space="preserve"> of</w:t>
      </w:r>
      <w:r w:rsidR="00834558" w:rsidRPr="00967198">
        <w:rPr>
          <w:sz w:val="24"/>
          <w:szCs w:val="24"/>
        </w:rPr>
        <w:t>:</w:t>
      </w:r>
    </w:p>
    <w:p w14:paraId="36EF7C9F" w14:textId="53B278E0" w:rsidR="00187A42" w:rsidRPr="00967198" w:rsidRDefault="00824CF7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9</w:t>
      </w:r>
      <w:r w:rsidR="00A81779" w:rsidRPr="00967198">
        <w:rPr>
          <w:sz w:val="24"/>
          <w:szCs w:val="24"/>
        </w:rPr>
        <w:t>7</w:t>
      </w:r>
      <w:r w:rsidR="00DC02C3" w:rsidRPr="00967198">
        <w:rPr>
          <w:sz w:val="24"/>
          <w:szCs w:val="24"/>
        </w:rPr>
        <w:t xml:space="preserve"> members</w:t>
      </w:r>
    </w:p>
    <w:p w14:paraId="77D8FF34" w14:textId="4C40AA56" w:rsidR="00187A42" w:rsidRPr="00967198" w:rsidRDefault="00834558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1</w:t>
      </w:r>
      <w:r w:rsidR="00967198">
        <w:rPr>
          <w:sz w:val="24"/>
          <w:szCs w:val="24"/>
        </w:rPr>
        <w:t>2</w:t>
      </w:r>
      <w:r w:rsidRPr="00967198">
        <w:rPr>
          <w:sz w:val="24"/>
          <w:szCs w:val="24"/>
        </w:rPr>
        <w:t xml:space="preserve"> Executive members representing </w:t>
      </w:r>
      <w:r w:rsidR="00A81779" w:rsidRPr="00967198">
        <w:rPr>
          <w:sz w:val="24"/>
          <w:szCs w:val="24"/>
        </w:rPr>
        <w:t>8</w:t>
      </w:r>
      <w:r w:rsidRPr="00967198">
        <w:rPr>
          <w:sz w:val="24"/>
          <w:szCs w:val="24"/>
        </w:rPr>
        <w:t xml:space="preserve"> institutions</w:t>
      </w:r>
      <w:r w:rsidR="00187A42" w:rsidRPr="00967198">
        <w:rPr>
          <w:sz w:val="24"/>
          <w:szCs w:val="24"/>
        </w:rPr>
        <w:t xml:space="preserve"> </w:t>
      </w:r>
    </w:p>
    <w:p w14:paraId="6053605C" w14:textId="6A1732F8" w:rsidR="00455573" w:rsidRPr="00967198" w:rsidRDefault="00754B40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CQUniversity, </w:t>
      </w:r>
      <w:r w:rsidR="00187A42" w:rsidRPr="00967198">
        <w:rPr>
          <w:sz w:val="24"/>
          <w:szCs w:val="24"/>
        </w:rPr>
        <w:t>University of Southern Queensland, University of Newcastle, Uni</w:t>
      </w:r>
      <w:r w:rsidR="00506694" w:rsidRPr="00967198">
        <w:rPr>
          <w:sz w:val="24"/>
          <w:szCs w:val="24"/>
        </w:rPr>
        <w:t>versity of South Australia</w:t>
      </w:r>
      <w:r w:rsidR="00187A42" w:rsidRPr="00967198">
        <w:rPr>
          <w:sz w:val="24"/>
          <w:szCs w:val="24"/>
        </w:rPr>
        <w:t xml:space="preserve">. Charles Darwin University, Southern Cross University, </w:t>
      </w:r>
      <w:r w:rsidR="00256B8D" w:rsidRPr="00967198">
        <w:rPr>
          <w:sz w:val="24"/>
          <w:szCs w:val="24"/>
        </w:rPr>
        <w:t xml:space="preserve">Queensland </w:t>
      </w:r>
      <w:r w:rsidR="00506694" w:rsidRPr="00967198">
        <w:rPr>
          <w:sz w:val="24"/>
          <w:szCs w:val="24"/>
        </w:rPr>
        <w:t>University of Technology</w:t>
      </w:r>
      <w:r w:rsidR="00187A42" w:rsidRPr="00967198">
        <w:rPr>
          <w:sz w:val="24"/>
          <w:szCs w:val="24"/>
        </w:rPr>
        <w:t>, Unitec Institute of Technology New Zealand (FABENZ Chair)</w:t>
      </w:r>
    </w:p>
    <w:p w14:paraId="2A9280C3" w14:textId="170B313C" w:rsidR="00834558" w:rsidRPr="00967198" w:rsidRDefault="00455573" w:rsidP="004555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8 Special Interest Groups (SIGS)</w:t>
      </w:r>
    </w:p>
    <w:p w14:paraId="68081509" w14:textId="1C165E83" w:rsidR="004C75F7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Enabling Assessment</w:t>
      </w:r>
    </w:p>
    <w:p w14:paraId="21348269" w14:textId="0B6292B9" w:rsidR="004558E8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Enabling Curriculum</w:t>
      </w:r>
    </w:p>
    <w:p w14:paraId="5FA36A65" w14:textId="566C9A22" w:rsidR="004558E8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Mental Health</w:t>
      </w:r>
    </w:p>
    <w:p w14:paraId="1F61ED7C" w14:textId="2FC1E496" w:rsidR="00DE04A7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Research</w:t>
      </w:r>
    </w:p>
    <w:p w14:paraId="60FA5355" w14:textId="59381C60" w:rsidR="004558E8" w:rsidRPr="00967198" w:rsidRDefault="004558E8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Science, Technology, Engineering and Maths (STEM)</w:t>
      </w:r>
    </w:p>
    <w:p w14:paraId="58A57D3E" w14:textId="3D7BED13" w:rsidR="004558E8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Culturally and Linguistically Diverse Students</w:t>
      </w:r>
    </w:p>
    <w:p w14:paraId="5642D2A2" w14:textId="7F144625" w:rsidR="00DE04A7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Online Learning</w:t>
      </w:r>
    </w:p>
    <w:p w14:paraId="47D3ECAE" w14:textId="69549E74" w:rsidR="00DE04A7" w:rsidRPr="00967198" w:rsidRDefault="00DE04A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Indigenous Students</w:t>
      </w:r>
    </w:p>
    <w:p w14:paraId="59EB55EC" w14:textId="77777777" w:rsidR="00EC667B" w:rsidRPr="00967198" w:rsidRDefault="00EC667B" w:rsidP="00EC667B">
      <w:pPr>
        <w:rPr>
          <w:b/>
          <w:sz w:val="24"/>
          <w:szCs w:val="24"/>
        </w:rPr>
      </w:pPr>
      <w:r w:rsidRPr="00967198">
        <w:rPr>
          <w:b/>
          <w:sz w:val="24"/>
          <w:szCs w:val="24"/>
        </w:rPr>
        <w:t>Principal Activities</w:t>
      </w:r>
    </w:p>
    <w:p w14:paraId="63115C5F" w14:textId="30CBB548" w:rsidR="00A81779" w:rsidRPr="00967198" w:rsidRDefault="00A81779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Refined the ‘Defining Enabling Document’ to clarify Enabling education so that we can continue to:</w:t>
      </w:r>
    </w:p>
    <w:p w14:paraId="2C11A5A5" w14:textId="77777777" w:rsidR="00A81779" w:rsidRPr="00967198" w:rsidRDefault="00A81779" w:rsidP="00A817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Support and develop effective quality assurance that is recognised across the sector</w:t>
      </w:r>
    </w:p>
    <w:p w14:paraId="3C0C6B75" w14:textId="77777777" w:rsidR="00A81779" w:rsidRPr="00967198" w:rsidRDefault="00A81779" w:rsidP="00A817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Facilitate comparison between programs and encourage cross-institutional transfer</w:t>
      </w:r>
    </w:p>
    <w:p w14:paraId="43832A0A" w14:textId="77777777" w:rsidR="00A81779" w:rsidRPr="00967198" w:rsidRDefault="00A81779" w:rsidP="00A817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Assist in the clarification of funding protocols </w:t>
      </w:r>
    </w:p>
    <w:p w14:paraId="19F0A6DD" w14:textId="77777777" w:rsidR="00A81779" w:rsidRPr="00967198" w:rsidRDefault="00A81779" w:rsidP="00A817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Raise the public profile of the role of enabling in the higher education sector as a mechanism for access, social </w:t>
      </w:r>
      <w:proofErr w:type="gramStart"/>
      <w:r w:rsidRPr="00967198">
        <w:rPr>
          <w:sz w:val="24"/>
          <w:szCs w:val="24"/>
        </w:rPr>
        <w:t>mobility</w:t>
      </w:r>
      <w:proofErr w:type="gramEnd"/>
      <w:r w:rsidRPr="00967198">
        <w:rPr>
          <w:sz w:val="24"/>
          <w:szCs w:val="24"/>
        </w:rPr>
        <w:t xml:space="preserve"> and career transformation</w:t>
      </w:r>
    </w:p>
    <w:p w14:paraId="3C7D5627" w14:textId="021AAA8D" w:rsidR="00A81779" w:rsidRPr="00967198" w:rsidRDefault="00A81779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Created a set of common learning outcomes for Enabling programs across Australian institutions</w:t>
      </w:r>
      <w:r w:rsidR="00C11BCC" w:rsidRPr="00967198">
        <w:rPr>
          <w:sz w:val="24"/>
          <w:szCs w:val="24"/>
        </w:rPr>
        <w:t xml:space="preserve"> to support the NAEEA submission to the AQF Review</w:t>
      </w:r>
    </w:p>
    <w:p w14:paraId="7772E0DC" w14:textId="04FF09F7" w:rsidR="00A81779" w:rsidRPr="00967198" w:rsidRDefault="00A81779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Supported Dr Pranit Annand to plan the combined EPHEA/NAEEA conference in Wollongong in 24-27 November</w:t>
      </w:r>
    </w:p>
    <w:p w14:paraId="0D295D99" w14:textId="731AA048" w:rsidR="00A81779" w:rsidRPr="00967198" w:rsidRDefault="00A81779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lastRenderedPageBreak/>
        <w:t>NAEEA Executive members who attended the EPHEA/NAEEA Conference presented a ‘NAEAA Showcase’ session</w:t>
      </w:r>
    </w:p>
    <w:p w14:paraId="06F86BDC" w14:textId="2ED76CEE" w:rsidR="00A81779" w:rsidRPr="00967198" w:rsidRDefault="00A81779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Presented the inaugural perpetual Eleanor Ramsay Award for best paper/best initiative at the EPHEA/NAEEA conference </w:t>
      </w:r>
    </w:p>
    <w:p w14:paraId="1B42B7BE" w14:textId="00A1065A" w:rsidR="004C75F7" w:rsidRPr="00967198" w:rsidRDefault="004C75F7" w:rsidP="00A817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Acknowledge</w:t>
      </w:r>
      <w:r w:rsidR="00A65465" w:rsidRPr="00967198">
        <w:rPr>
          <w:sz w:val="24"/>
          <w:szCs w:val="24"/>
        </w:rPr>
        <w:t>d</w:t>
      </w:r>
      <w:r w:rsidRPr="00967198">
        <w:rPr>
          <w:sz w:val="24"/>
          <w:szCs w:val="24"/>
        </w:rPr>
        <w:t xml:space="preserve"> </w:t>
      </w:r>
      <w:r w:rsidR="00A81779" w:rsidRPr="00967198">
        <w:rPr>
          <w:sz w:val="24"/>
          <w:szCs w:val="24"/>
        </w:rPr>
        <w:t xml:space="preserve">via presentation of a plaque, </w:t>
      </w:r>
      <w:r w:rsidRPr="00967198">
        <w:rPr>
          <w:sz w:val="24"/>
          <w:szCs w:val="24"/>
        </w:rPr>
        <w:t xml:space="preserve">the contribution ‘retiring’ colleagues </w:t>
      </w:r>
      <w:r w:rsidR="00A65465" w:rsidRPr="00967198">
        <w:rPr>
          <w:sz w:val="24"/>
          <w:szCs w:val="24"/>
        </w:rPr>
        <w:t xml:space="preserve">have </w:t>
      </w:r>
      <w:r w:rsidRPr="00967198">
        <w:rPr>
          <w:sz w:val="24"/>
          <w:szCs w:val="24"/>
        </w:rPr>
        <w:t>made to Enabling</w:t>
      </w:r>
      <w:r w:rsidR="00A65465" w:rsidRPr="00967198">
        <w:rPr>
          <w:sz w:val="24"/>
          <w:szCs w:val="24"/>
        </w:rPr>
        <w:t xml:space="preserve"> over a substantial period</w:t>
      </w:r>
      <w:r w:rsidR="00032597" w:rsidRPr="00967198">
        <w:rPr>
          <w:sz w:val="24"/>
          <w:szCs w:val="24"/>
        </w:rPr>
        <w:t xml:space="preserve"> at the EPHEA/NAEEA Conference</w:t>
      </w:r>
      <w:r w:rsidR="00A81779" w:rsidRPr="00967198">
        <w:rPr>
          <w:sz w:val="24"/>
          <w:szCs w:val="24"/>
        </w:rPr>
        <w:t xml:space="preserve"> dinner</w:t>
      </w:r>
      <w:r w:rsidR="00032597" w:rsidRPr="00967198">
        <w:rPr>
          <w:sz w:val="24"/>
          <w:szCs w:val="24"/>
        </w:rPr>
        <w:t xml:space="preserve"> in Wollongong </w:t>
      </w:r>
    </w:p>
    <w:p w14:paraId="3D7060EA" w14:textId="7D3555C3" w:rsidR="004C75F7" w:rsidRPr="00967198" w:rsidRDefault="004C75F7" w:rsidP="004C75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Professor Seamus Fagan (University of Newcastle)</w:t>
      </w:r>
    </w:p>
    <w:p w14:paraId="0B544E81" w14:textId="77777777" w:rsidR="004C75F7" w:rsidRPr="00967198" w:rsidRDefault="004C75F7" w:rsidP="004C75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David Bull (University of Southern Queensland) </w:t>
      </w:r>
    </w:p>
    <w:p w14:paraId="1A58FA69" w14:textId="25786C28" w:rsidR="004C75F7" w:rsidRPr="00967198" w:rsidRDefault="004C75F7" w:rsidP="004C75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Professor Janet Taylor (Southern Cross University)</w:t>
      </w:r>
    </w:p>
    <w:p w14:paraId="7D46F03C" w14:textId="1CB625FE" w:rsidR="00A65465" w:rsidRPr="00967198" w:rsidRDefault="00AC7489" w:rsidP="002A2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Continued circulation of the NAEEA Newsletter to members</w:t>
      </w:r>
    </w:p>
    <w:p w14:paraId="12DC31C1" w14:textId="3E0AE8ED" w:rsidR="002A2098" w:rsidRPr="00967198" w:rsidRDefault="002A2098" w:rsidP="002A2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Funded the enhancement of the NAEEA Website</w:t>
      </w:r>
    </w:p>
    <w:p w14:paraId="2DB4C30E" w14:textId="6E002116" w:rsidR="008A1122" w:rsidRPr="00967198" w:rsidRDefault="00A65465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S</w:t>
      </w:r>
      <w:r w:rsidR="00CF25F9" w:rsidRPr="00967198">
        <w:rPr>
          <w:sz w:val="24"/>
          <w:szCs w:val="24"/>
        </w:rPr>
        <w:t>trengthened the</w:t>
      </w:r>
      <w:r w:rsidRPr="00967198">
        <w:rPr>
          <w:sz w:val="24"/>
          <w:szCs w:val="24"/>
        </w:rPr>
        <w:t xml:space="preserve"> p</w:t>
      </w:r>
      <w:r w:rsidR="006A48E7" w:rsidRPr="00967198">
        <w:rPr>
          <w:sz w:val="24"/>
          <w:szCs w:val="24"/>
        </w:rPr>
        <w:t>artnership agreement with FACE</w:t>
      </w:r>
      <w:r w:rsidR="00292ABB" w:rsidRPr="00967198">
        <w:rPr>
          <w:sz w:val="24"/>
          <w:szCs w:val="24"/>
        </w:rPr>
        <w:t xml:space="preserve"> (F</w:t>
      </w:r>
      <w:r w:rsidR="002A3708" w:rsidRPr="00967198">
        <w:rPr>
          <w:sz w:val="24"/>
          <w:szCs w:val="24"/>
        </w:rPr>
        <w:t>orum for Access and</w:t>
      </w:r>
      <w:r w:rsidR="00292ABB" w:rsidRPr="00967198">
        <w:rPr>
          <w:sz w:val="24"/>
          <w:szCs w:val="24"/>
        </w:rPr>
        <w:t xml:space="preserve"> Continuing Education)</w:t>
      </w:r>
      <w:r w:rsidR="006A48E7" w:rsidRPr="00967198">
        <w:rPr>
          <w:sz w:val="24"/>
          <w:szCs w:val="24"/>
        </w:rPr>
        <w:t xml:space="preserve"> Professor John </w:t>
      </w:r>
      <w:proofErr w:type="spellStart"/>
      <w:proofErr w:type="gramStart"/>
      <w:r w:rsidR="006A48E7" w:rsidRPr="00967198">
        <w:rPr>
          <w:sz w:val="24"/>
          <w:szCs w:val="24"/>
        </w:rPr>
        <w:t>Storan</w:t>
      </w:r>
      <w:proofErr w:type="spellEnd"/>
      <w:r w:rsidRPr="00967198">
        <w:rPr>
          <w:sz w:val="24"/>
          <w:szCs w:val="24"/>
        </w:rPr>
        <w:t xml:space="preserve">  -</w:t>
      </w:r>
      <w:proofErr w:type="gramEnd"/>
      <w:r w:rsidRPr="00967198">
        <w:rPr>
          <w:sz w:val="24"/>
          <w:szCs w:val="24"/>
        </w:rPr>
        <w:t xml:space="preserve"> </w:t>
      </w:r>
      <w:r w:rsidR="00292ABB" w:rsidRPr="00967198">
        <w:rPr>
          <w:sz w:val="24"/>
          <w:szCs w:val="24"/>
        </w:rPr>
        <w:t>FACE Chair | Director – Continuum: Centre for Widening Participation Policy Studies at the University of East London</w:t>
      </w:r>
      <w:r w:rsidR="00CF25F9" w:rsidRPr="00967198">
        <w:rPr>
          <w:sz w:val="24"/>
          <w:szCs w:val="24"/>
        </w:rPr>
        <w:t xml:space="preserve"> through the Chair of NAEEA’s attendance and participation in the FACE Conference 2019 at Sheffield University.</w:t>
      </w:r>
      <w:r w:rsidR="005B55A4" w:rsidRPr="00967198">
        <w:rPr>
          <w:sz w:val="24"/>
          <w:szCs w:val="24"/>
        </w:rPr>
        <w:t xml:space="preserve"> Karen Seary as Chair spoke about NAEEA at the Welcome for new delegates and participated in the International Roundtable Panel.</w:t>
      </w:r>
    </w:p>
    <w:p w14:paraId="6405529A" w14:textId="0162B641" w:rsidR="009C765E" w:rsidRPr="00967198" w:rsidRDefault="002A2098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Finalised </w:t>
      </w:r>
      <w:r w:rsidR="009C765E" w:rsidRPr="00967198">
        <w:rPr>
          <w:sz w:val="24"/>
          <w:szCs w:val="24"/>
        </w:rPr>
        <w:t>the criteria for Expression of Interest to host NAEEA conference</w:t>
      </w:r>
    </w:p>
    <w:p w14:paraId="3FCBCD8F" w14:textId="0672A6D3" w:rsidR="00187A42" w:rsidRPr="00967198" w:rsidRDefault="00C730D5" w:rsidP="00DC7F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Voted to provide a </w:t>
      </w:r>
      <w:r w:rsidR="006A48E7" w:rsidRPr="00967198">
        <w:rPr>
          <w:sz w:val="24"/>
          <w:szCs w:val="24"/>
        </w:rPr>
        <w:t>$1000 contribution to the CEEHEE Writing Program</w:t>
      </w:r>
      <w:r w:rsidRPr="00967198">
        <w:rPr>
          <w:sz w:val="24"/>
          <w:szCs w:val="24"/>
        </w:rPr>
        <w:t xml:space="preserve"> in 20</w:t>
      </w:r>
      <w:r w:rsidR="002A2098" w:rsidRPr="00967198">
        <w:rPr>
          <w:sz w:val="24"/>
          <w:szCs w:val="24"/>
        </w:rPr>
        <w:t>20</w:t>
      </w:r>
    </w:p>
    <w:p w14:paraId="23CA2C5B" w14:textId="77777777" w:rsidR="00187A42" w:rsidRPr="00967198" w:rsidRDefault="00187A42" w:rsidP="00187A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Conducted the election of executive members</w:t>
      </w:r>
    </w:p>
    <w:p w14:paraId="1E145370" w14:textId="3F94FBB9" w:rsidR="00187A42" w:rsidRPr="00967198" w:rsidRDefault="00187A42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5 posi</w:t>
      </w:r>
      <w:r w:rsidR="00EC667B" w:rsidRPr="00967198">
        <w:rPr>
          <w:sz w:val="24"/>
          <w:szCs w:val="24"/>
        </w:rPr>
        <w:t>tions</w:t>
      </w:r>
      <w:r w:rsidRPr="00967198">
        <w:rPr>
          <w:sz w:val="24"/>
          <w:szCs w:val="24"/>
        </w:rPr>
        <w:t xml:space="preserve"> – </w:t>
      </w:r>
      <w:r w:rsidR="00363457" w:rsidRPr="00967198">
        <w:rPr>
          <w:sz w:val="24"/>
          <w:szCs w:val="24"/>
        </w:rPr>
        <w:t>all 5</w:t>
      </w:r>
      <w:r w:rsidRPr="00967198">
        <w:rPr>
          <w:sz w:val="24"/>
          <w:szCs w:val="24"/>
        </w:rPr>
        <w:t xml:space="preserve"> existing members </w:t>
      </w:r>
      <w:r w:rsidR="005B55A4" w:rsidRPr="00967198">
        <w:rPr>
          <w:sz w:val="24"/>
          <w:szCs w:val="24"/>
        </w:rPr>
        <w:t>(Karen Seary, Charmaine Davis, Anna Bennett, Pranit Annand and George Lambri</w:t>
      </w:r>
      <w:r w:rsidR="006D4537" w:rsidRPr="00967198">
        <w:rPr>
          <w:sz w:val="24"/>
          <w:szCs w:val="24"/>
        </w:rPr>
        <w:t>nid</w:t>
      </w:r>
      <w:r w:rsidR="005B55A4" w:rsidRPr="00967198">
        <w:rPr>
          <w:sz w:val="24"/>
          <w:szCs w:val="24"/>
        </w:rPr>
        <w:t xml:space="preserve">is) </w:t>
      </w:r>
      <w:r w:rsidRPr="00967198">
        <w:rPr>
          <w:sz w:val="24"/>
          <w:szCs w:val="24"/>
        </w:rPr>
        <w:t>were re-elected</w:t>
      </w:r>
    </w:p>
    <w:p w14:paraId="0CD1A1E5" w14:textId="1BDDD5FA" w:rsidR="00187A42" w:rsidRPr="00967198" w:rsidRDefault="00234957" w:rsidP="00187A4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Karen Seary as Chair contacted unsuccessful applicants </w:t>
      </w:r>
      <w:r w:rsidR="005B55A4" w:rsidRPr="00967198">
        <w:rPr>
          <w:sz w:val="24"/>
          <w:szCs w:val="24"/>
        </w:rPr>
        <w:t>(</w:t>
      </w:r>
      <w:r w:rsidR="00944C27" w:rsidRPr="00967198">
        <w:rPr>
          <w:sz w:val="24"/>
          <w:szCs w:val="24"/>
        </w:rPr>
        <w:t xml:space="preserve">Johanna </w:t>
      </w:r>
      <w:proofErr w:type="spellStart"/>
      <w:r w:rsidR="00944C27" w:rsidRPr="00967198">
        <w:rPr>
          <w:sz w:val="24"/>
          <w:szCs w:val="24"/>
        </w:rPr>
        <w:t>Nieuwoudt</w:t>
      </w:r>
      <w:proofErr w:type="spellEnd"/>
      <w:r w:rsidR="00944C27" w:rsidRPr="00967198">
        <w:rPr>
          <w:sz w:val="24"/>
          <w:szCs w:val="24"/>
        </w:rPr>
        <w:t xml:space="preserve">, </w:t>
      </w:r>
      <w:proofErr w:type="spellStart"/>
      <w:r w:rsidR="005B55A4" w:rsidRPr="00967198">
        <w:rPr>
          <w:sz w:val="24"/>
          <w:szCs w:val="24"/>
        </w:rPr>
        <w:t>Lyris</w:t>
      </w:r>
      <w:proofErr w:type="spellEnd"/>
      <w:r w:rsidR="005B55A4" w:rsidRPr="00967198">
        <w:rPr>
          <w:sz w:val="24"/>
          <w:szCs w:val="24"/>
        </w:rPr>
        <w:t xml:space="preserve"> Snowden, Liz Goode, Carol Carter, </w:t>
      </w:r>
      <w:r w:rsidRPr="00967198">
        <w:rPr>
          <w:sz w:val="24"/>
          <w:szCs w:val="24"/>
        </w:rPr>
        <w:t>prior to the announcement of the new executive</w:t>
      </w:r>
      <w:r w:rsidR="00427471" w:rsidRPr="00967198">
        <w:rPr>
          <w:sz w:val="24"/>
          <w:szCs w:val="24"/>
        </w:rPr>
        <w:t xml:space="preserve"> to thank them for their application</w:t>
      </w:r>
    </w:p>
    <w:p w14:paraId="3A81F8FE" w14:textId="77DC0376" w:rsidR="001319D0" w:rsidRPr="00967198" w:rsidRDefault="001319D0" w:rsidP="00363457">
      <w:pPr>
        <w:pStyle w:val="ListParagraph"/>
        <w:ind w:left="1440"/>
        <w:rPr>
          <w:sz w:val="24"/>
          <w:szCs w:val="24"/>
        </w:rPr>
      </w:pPr>
    </w:p>
    <w:p w14:paraId="57E5452A" w14:textId="66431089" w:rsidR="006620B5" w:rsidRPr="00967198" w:rsidRDefault="001319D0" w:rsidP="00DC7F77">
      <w:pPr>
        <w:rPr>
          <w:sz w:val="24"/>
          <w:szCs w:val="24"/>
        </w:rPr>
      </w:pPr>
      <w:r w:rsidRPr="00967198">
        <w:rPr>
          <w:b/>
          <w:sz w:val="24"/>
          <w:szCs w:val="24"/>
        </w:rPr>
        <w:t>Going forward –</w:t>
      </w:r>
      <w:r w:rsidRPr="00967198">
        <w:rPr>
          <w:sz w:val="24"/>
          <w:szCs w:val="24"/>
        </w:rPr>
        <w:t xml:space="preserve"> 20</w:t>
      </w:r>
      <w:r w:rsidR="00B7165A" w:rsidRPr="00967198">
        <w:rPr>
          <w:sz w:val="24"/>
          <w:szCs w:val="24"/>
        </w:rPr>
        <w:t>20</w:t>
      </w:r>
      <w:r w:rsidRPr="00967198">
        <w:rPr>
          <w:sz w:val="24"/>
          <w:szCs w:val="24"/>
        </w:rPr>
        <w:t xml:space="preserve"> will see</w:t>
      </w:r>
      <w:r w:rsidR="006620B5" w:rsidRPr="00967198">
        <w:rPr>
          <w:sz w:val="24"/>
          <w:szCs w:val="24"/>
        </w:rPr>
        <w:t xml:space="preserve"> the:</w:t>
      </w:r>
    </w:p>
    <w:p w14:paraId="47C61C4B" w14:textId="77777777" w:rsidR="00427471" w:rsidRPr="00967198" w:rsidRDefault="00427471" w:rsidP="004274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Continued drive to increase the association membership</w:t>
      </w:r>
    </w:p>
    <w:p w14:paraId="146693A3" w14:textId="6524753F" w:rsidR="006620B5" w:rsidRPr="00967198" w:rsidRDefault="00B7165A" w:rsidP="006620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Continued </w:t>
      </w:r>
      <w:r w:rsidR="006620B5" w:rsidRPr="00967198">
        <w:rPr>
          <w:sz w:val="24"/>
          <w:szCs w:val="24"/>
        </w:rPr>
        <w:t>enhancement of the NAEEA Website</w:t>
      </w:r>
    </w:p>
    <w:p w14:paraId="45C1C9B4" w14:textId="77777777" w:rsidR="00427471" w:rsidRPr="00967198" w:rsidRDefault="00B7165A" w:rsidP="004274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 xml:space="preserve">Continued </w:t>
      </w:r>
      <w:r w:rsidR="001319D0" w:rsidRPr="00967198">
        <w:rPr>
          <w:sz w:val="24"/>
          <w:szCs w:val="24"/>
        </w:rPr>
        <w:t xml:space="preserve">commitment to advocating for Enabling </w:t>
      </w:r>
      <w:r w:rsidR="00256B8D" w:rsidRPr="00967198">
        <w:rPr>
          <w:sz w:val="24"/>
          <w:szCs w:val="24"/>
        </w:rPr>
        <w:t>at the Federal government level</w:t>
      </w:r>
      <w:r w:rsidR="00824CF7" w:rsidRPr="00967198">
        <w:rPr>
          <w:sz w:val="24"/>
          <w:szCs w:val="24"/>
        </w:rPr>
        <w:t>, in collaboration with EPHEA (Kylie Austin as Chair)</w:t>
      </w:r>
    </w:p>
    <w:p w14:paraId="2F8F352B" w14:textId="3663E831" w:rsidR="00BE2538" w:rsidRPr="00967198" w:rsidRDefault="00B7165A" w:rsidP="004274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O</w:t>
      </w:r>
      <w:r w:rsidR="00706DB4" w:rsidRPr="00967198">
        <w:rPr>
          <w:sz w:val="24"/>
          <w:szCs w:val="24"/>
        </w:rPr>
        <w:t xml:space="preserve">rganisation of an Enabling Symposium </w:t>
      </w:r>
    </w:p>
    <w:p w14:paraId="31CF658F" w14:textId="66ECDD6E" w:rsidR="00427471" w:rsidRPr="00967198" w:rsidRDefault="00427471" w:rsidP="004274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7198">
        <w:rPr>
          <w:sz w:val="24"/>
          <w:szCs w:val="24"/>
        </w:rPr>
        <w:t>Planning for 2021 NAEEA Conference</w:t>
      </w:r>
    </w:p>
    <w:p w14:paraId="602BF4DF" w14:textId="77777777" w:rsidR="001319D0" w:rsidRPr="00967198" w:rsidRDefault="001319D0" w:rsidP="001319D0">
      <w:pPr>
        <w:pStyle w:val="ListParagraph"/>
        <w:ind w:left="2160"/>
        <w:rPr>
          <w:sz w:val="24"/>
          <w:szCs w:val="24"/>
        </w:rPr>
      </w:pPr>
    </w:p>
    <w:sectPr w:rsidR="001319D0" w:rsidRPr="009671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03A6" w14:textId="77777777" w:rsidR="00A65465" w:rsidRDefault="00A65465" w:rsidP="00A65465">
      <w:pPr>
        <w:spacing w:after="0" w:line="240" w:lineRule="auto"/>
      </w:pPr>
      <w:r>
        <w:separator/>
      </w:r>
    </w:p>
  </w:endnote>
  <w:endnote w:type="continuationSeparator" w:id="0">
    <w:p w14:paraId="1A4CE871" w14:textId="77777777" w:rsidR="00A65465" w:rsidRDefault="00A65465" w:rsidP="00A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770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0B346" w14:textId="2ABCEB40" w:rsidR="00A65465" w:rsidRDefault="00A65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E141A" w14:textId="77777777" w:rsidR="00A65465" w:rsidRDefault="00A65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B5C" w14:textId="77777777" w:rsidR="00A65465" w:rsidRDefault="00A65465" w:rsidP="00A65465">
      <w:pPr>
        <w:spacing w:after="0" w:line="240" w:lineRule="auto"/>
      </w:pPr>
      <w:r>
        <w:separator/>
      </w:r>
    </w:p>
  </w:footnote>
  <w:footnote w:type="continuationSeparator" w:id="0">
    <w:p w14:paraId="79743ABD" w14:textId="77777777" w:rsidR="00A65465" w:rsidRDefault="00A65465" w:rsidP="00A6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B3E"/>
    <w:multiLevelType w:val="hybridMultilevel"/>
    <w:tmpl w:val="7B90A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435"/>
    <w:multiLevelType w:val="hybridMultilevel"/>
    <w:tmpl w:val="D0420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EEE"/>
    <w:multiLevelType w:val="hybridMultilevel"/>
    <w:tmpl w:val="4E543F12"/>
    <w:lvl w:ilvl="0" w:tplc="1B062A6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5B7"/>
    <w:multiLevelType w:val="hybridMultilevel"/>
    <w:tmpl w:val="4252AB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7667">
    <w:abstractNumId w:val="0"/>
  </w:num>
  <w:num w:numId="2" w16cid:durableId="83690362">
    <w:abstractNumId w:val="1"/>
  </w:num>
  <w:num w:numId="3" w16cid:durableId="871184223">
    <w:abstractNumId w:val="3"/>
  </w:num>
  <w:num w:numId="4" w16cid:durableId="59193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E7"/>
    <w:rsid w:val="00032597"/>
    <w:rsid w:val="000474BC"/>
    <w:rsid w:val="00091901"/>
    <w:rsid w:val="001319D0"/>
    <w:rsid w:val="001668BD"/>
    <w:rsid w:val="00184ECE"/>
    <w:rsid w:val="00187A42"/>
    <w:rsid w:val="001D2EB0"/>
    <w:rsid w:val="002019B7"/>
    <w:rsid w:val="00234957"/>
    <w:rsid w:val="00256B8D"/>
    <w:rsid w:val="002677F7"/>
    <w:rsid w:val="00287A2F"/>
    <w:rsid w:val="00292ABB"/>
    <w:rsid w:val="0029782F"/>
    <w:rsid w:val="002A2098"/>
    <w:rsid w:val="002A3708"/>
    <w:rsid w:val="002D480A"/>
    <w:rsid w:val="002F728D"/>
    <w:rsid w:val="00363457"/>
    <w:rsid w:val="00371256"/>
    <w:rsid w:val="00387D11"/>
    <w:rsid w:val="00427471"/>
    <w:rsid w:val="00455573"/>
    <w:rsid w:val="004558E8"/>
    <w:rsid w:val="00494042"/>
    <w:rsid w:val="004C75F7"/>
    <w:rsid w:val="004D6C2B"/>
    <w:rsid w:val="00506694"/>
    <w:rsid w:val="0053508D"/>
    <w:rsid w:val="005711B2"/>
    <w:rsid w:val="005A0871"/>
    <w:rsid w:val="005A299A"/>
    <w:rsid w:val="005B55A4"/>
    <w:rsid w:val="006620B5"/>
    <w:rsid w:val="006A2B7F"/>
    <w:rsid w:val="006A48E7"/>
    <w:rsid w:val="006D4537"/>
    <w:rsid w:val="00706DB4"/>
    <w:rsid w:val="00754B40"/>
    <w:rsid w:val="007D27FB"/>
    <w:rsid w:val="0081211E"/>
    <w:rsid w:val="00824CF7"/>
    <w:rsid w:val="00834558"/>
    <w:rsid w:val="00876763"/>
    <w:rsid w:val="008A1122"/>
    <w:rsid w:val="009038C5"/>
    <w:rsid w:val="00944C27"/>
    <w:rsid w:val="00964FC8"/>
    <w:rsid w:val="00967198"/>
    <w:rsid w:val="00983C06"/>
    <w:rsid w:val="009C765E"/>
    <w:rsid w:val="00A65465"/>
    <w:rsid w:val="00A81779"/>
    <w:rsid w:val="00AC7489"/>
    <w:rsid w:val="00B02F40"/>
    <w:rsid w:val="00B44389"/>
    <w:rsid w:val="00B7165A"/>
    <w:rsid w:val="00BE2538"/>
    <w:rsid w:val="00C06A90"/>
    <w:rsid w:val="00C11BCC"/>
    <w:rsid w:val="00C47B2D"/>
    <w:rsid w:val="00C62DC9"/>
    <w:rsid w:val="00C730D5"/>
    <w:rsid w:val="00C73F5E"/>
    <w:rsid w:val="00CB75AB"/>
    <w:rsid w:val="00CC024D"/>
    <w:rsid w:val="00CF25F9"/>
    <w:rsid w:val="00D157B0"/>
    <w:rsid w:val="00D55704"/>
    <w:rsid w:val="00DC02C3"/>
    <w:rsid w:val="00DC7F77"/>
    <w:rsid w:val="00DE04A7"/>
    <w:rsid w:val="00E4385A"/>
    <w:rsid w:val="00E86968"/>
    <w:rsid w:val="00EB0CB2"/>
    <w:rsid w:val="00EC37E1"/>
    <w:rsid w:val="00EC667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FBFC"/>
  <w15:chartTrackingRefBased/>
  <w15:docId w15:val="{E146367F-ED5E-476C-9CF0-A9FE5C3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65"/>
  </w:style>
  <w:style w:type="paragraph" w:styleId="Footer">
    <w:name w:val="footer"/>
    <w:basedOn w:val="Normal"/>
    <w:link w:val="FooterChar"/>
    <w:uiPriority w:val="99"/>
    <w:unhideWhenUsed/>
    <w:rsid w:val="00A6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Seary</dc:creator>
  <cp:keywords/>
  <dc:description/>
  <cp:lastModifiedBy>Fiona NAVIN</cp:lastModifiedBy>
  <cp:revision>17</cp:revision>
  <cp:lastPrinted>2019-03-22T01:23:00Z</cp:lastPrinted>
  <dcterms:created xsi:type="dcterms:W3CDTF">2020-03-11T04:54:00Z</dcterms:created>
  <dcterms:modified xsi:type="dcterms:W3CDTF">2023-07-15T02:00:00Z</dcterms:modified>
</cp:coreProperties>
</file>